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教师教育课程标准（试行）</w:t>
      </w:r>
    </w:p>
    <w:p>
      <w:pPr>
        <w:snapToGrid w:val="0"/>
        <w:spacing w:line="560" w:lineRule="exact"/>
        <w:jc w:val="center"/>
        <w:rPr>
          <w:rFonts w:hint="eastAsia" w:asciiTheme="minorEastAsia" w:hAnsiTheme="minorEastAsia" w:eastAsiaTheme="minorEastAsia" w:cstheme="minorEastAsia"/>
          <w:b w:val="0"/>
          <w:bCs/>
          <w:sz w:val="36"/>
          <w:szCs w:val="36"/>
        </w:rPr>
      </w:pPr>
      <w:r>
        <w:rPr>
          <w:rFonts w:hint="eastAsia" w:asciiTheme="minorEastAsia" w:hAnsiTheme="minorEastAsia" w:eastAsiaTheme="minorEastAsia" w:cstheme="minorEastAsia"/>
          <w:b w:val="0"/>
          <w:bCs/>
          <w:sz w:val="36"/>
          <w:szCs w:val="36"/>
        </w:rPr>
        <w:t>(教育部2011-10-08)</w:t>
      </w:r>
    </w:p>
    <w:p>
      <w:pPr>
        <w:snapToGrid w:val="0"/>
        <w:spacing w:line="560" w:lineRule="exact"/>
        <w:ind w:firstLine="420" w:firstLineChars="200"/>
        <w:jc w:val="center"/>
        <w:rPr>
          <w:rFonts w:hint="eastAsia"/>
        </w:rPr>
      </w:pP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为落实教育规划纲要，深化教师教育改革，规范和引导教师教育课程与教学，培养造就高素质专业化教师队伍，特制定《教师教育课程标准（试行）》。</w:t>
      </w:r>
    </w:p>
    <w:p>
      <w:pPr>
        <w:pStyle w:val="2"/>
        <w:keepNext w:val="0"/>
        <w:keepLines w:val="0"/>
        <w:pageBreakBefore w:val="0"/>
        <w:widowControl w:val="0"/>
        <w:kinsoku/>
        <w:wordWrap/>
        <w:overflowPunct/>
        <w:topLinePunct w:val="0"/>
        <w:autoSpaceDE/>
        <w:autoSpaceDN/>
        <w:bidi w:val="0"/>
        <w:adjustRightInd/>
        <w:spacing w:line="500" w:lineRule="exact"/>
        <w:ind w:firstLine="6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教师教育课程广义上包括教师教育机构为培养和培训幼儿园、小学和中学教师所开设的公共基础课程、学科专业课程和教育类课程。本课程标准专指教育类课程。</w:t>
      </w:r>
    </w:p>
    <w:p>
      <w:pPr>
        <w:pStyle w:val="2"/>
        <w:keepNext w:val="0"/>
        <w:keepLines w:val="0"/>
        <w:pageBreakBefore w:val="0"/>
        <w:widowControl w:val="0"/>
        <w:kinsoku/>
        <w:wordWrap/>
        <w:overflowPunct/>
        <w:topLinePunct w:val="0"/>
        <w:autoSpaceDE/>
        <w:autoSpaceDN/>
        <w:bidi w:val="0"/>
        <w:adjustRightInd/>
        <w:spacing w:line="500" w:lineRule="exact"/>
        <w:ind w:firstLine="600"/>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color w:val="auto"/>
          <w:sz w:val="30"/>
          <w:szCs w:val="30"/>
        </w:rPr>
        <w:t>教师教育课程标准体现国家对教师教育机构设置教师教育课程的基本要求，是制定教师教育课程方案、开发教材与课程资源、开展教学与评价，以及认定教师资格的重要依据。</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一、基本理念</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（一）育人为本</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师是中小学学生发展的促进者，在研究和帮助学生健康成长的过程中实现专业发展。教师教育课程应反映社会主义核心价值观，吸收研究新成果，体现社会进步对中小学学生发展的新要求。教师教育课程应引导未来教师树立正确的儿童观、学生观、教师观与教育观，掌握必备的教育知识与能力，参与教育实践，丰富专业体验；引导未来教师因材施教，关心和帮助每个中小学学生逐步树立正确的世界观、人生观、价值观，培养社会责任感、创新精神和实践能力。</w:t>
      </w:r>
    </w:p>
    <w:p>
      <w:pPr>
        <w:keepNext w:val="0"/>
        <w:keepLines w:val="0"/>
        <w:pageBreakBefore w:val="0"/>
        <w:widowControl w:val="0"/>
        <w:kinsoku/>
        <w:wordWrap/>
        <w:overflowPunct/>
        <w:topLinePunct w:val="0"/>
        <w:autoSpaceDE/>
        <w:autoSpaceDN/>
        <w:bidi w:val="0"/>
        <w:adjustRightInd/>
        <w:snapToGrid w:val="0"/>
        <w:spacing w:line="500" w:lineRule="exact"/>
        <w:ind w:firstLine="596" w:firstLineChars="198"/>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（二）实践取向</w:t>
      </w:r>
    </w:p>
    <w:p>
      <w:pPr>
        <w:keepNext w:val="0"/>
        <w:keepLines w:val="0"/>
        <w:pageBreakBefore w:val="0"/>
        <w:widowControl w:val="0"/>
        <w:kinsoku/>
        <w:wordWrap/>
        <w:overflowPunct/>
        <w:topLinePunct w:val="0"/>
        <w:autoSpaceDE/>
        <w:autoSpaceDN/>
        <w:bidi w:val="0"/>
        <w:adjustRightInd/>
        <w:spacing w:line="5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师是反思性实践者，在研究自身经验和改进教育教学行为的过程中实现专业发展。教师教育课程应强化实践意识，关注现实问题，体现教育改革与发展对教师的新要求。教师教育课程应引导未来教师参与和研究基础教育改革，主动建构教育知识，发展实践能力；引导未来教师发现和解决实际问题，创新教育教学模式，形成个人的教学风格和实践智慧。</w:t>
      </w:r>
    </w:p>
    <w:p>
      <w:pPr>
        <w:keepNext w:val="0"/>
        <w:keepLines w:val="0"/>
        <w:pageBreakBefore w:val="0"/>
        <w:widowControl w:val="0"/>
        <w:kinsoku/>
        <w:wordWrap/>
        <w:overflowPunct/>
        <w:topLinePunct w:val="0"/>
        <w:autoSpaceDE/>
        <w:autoSpaceDN/>
        <w:bidi w:val="0"/>
        <w:adjustRightInd/>
        <w:snapToGrid w:val="0"/>
        <w:spacing w:line="500" w:lineRule="exact"/>
        <w:ind w:firstLine="596" w:firstLineChars="198"/>
        <w:textAlignment w:val="auto"/>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（三）终身学习</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师是终身学习者，在持续学习和不断完善自身素质的过程中实现专业发展。教师教育课程应实现职前教育与在职教育的一体化，增强适应性和开放性，体现学习型社会对个体的新要求。教师教育课程应引导未来教师树立正确的专业理想，掌握必备的知识与技能，养成独立思考和自主学习的习惯；引导教师加深专业理解，更新知识结构，形成终身学习和应对挑战的能力。</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二、中学职前教师教育课程目标与课程设置</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30"/>
          <w:szCs w:val="30"/>
        </w:rPr>
        <w:t>中学职前教师教育课程要引导未来教师理解青春期的特点及其对中学生生活的影响，学习指导他们安全度过青春期；理解中学生的认知特点与学习方式，学会创建学习环境，鼓励独立思考，指导他们用多种方式探究学科知识；理解中学生的人格与文化特点，学会尊重他们的自我意识，指导他们规划自己的人生，在多样化的活动中发展社会实践能力。</w:t>
      </w:r>
    </w:p>
    <w:p>
      <w:pPr>
        <w:snapToGrid w:val="0"/>
        <w:spacing w:line="560" w:lineRule="exact"/>
        <w:ind w:firstLine="602" w:firstLineChars="200"/>
        <w:rPr>
          <w:rFonts w:hint="eastAsia" w:ascii="仿宋_GB2312" w:eastAsia="仿宋_GB2312"/>
          <w:b/>
          <w:bCs/>
          <w:sz w:val="30"/>
          <w:szCs w:val="30"/>
        </w:rPr>
      </w:pPr>
      <w:r>
        <w:rPr>
          <w:rFonts w:hint="eastAsia" w:ascii="仿宋_GB2312" w:eastAsia="仿宋_GB2312"/>
          <w:b/>
          <w:bCs/>
          <w:sz w:val="30"/>
          <w:szCs w:val="30"/>
        </w:rPr>
        <w:t>1．课程目标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380"/>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82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eastAsia="仿宋_GB2312"/>
                <w:b/>
                <w:bCs/>
                <w:sz w:val="24"/>
              </w:rPr>
            </w:pPr>
            <w:r>
              <w:rPr>
                <w:rFonts w:hint="eastAsia" w:ascii="仿宋_GB2312" w:eastAsia="仿宋_GB2312"/>
                <w:b/>
                <w:bCs/>
                <w:sz w:val="24"/>
              </w:rPr>
              <w:t>目标领域</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eastAsia="仿宋_GB2312"/>
                <w:b/>
                <w:bCs/>
                <w:sz w:val="24"/>
              </w:rPr>
            </w:pPr>
            <w:r>
              <w:rPr>
                <w:rFonts w:hint="eastAsia" w:ascii="仿宋_GB2312" w:eastAsia="仿宋_GB2312"/>
                <w:b/>
                <w:bCs/>
                <w:sz w:val="24"/>
              </w:rPr>
              <w:t>目标</w:t>
            </w:r>
          </w:p>
        </w:tc>
        <w:tc>
          <w:tcPr>
            <w:tcW w:w="6314"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eastAsia="仿宋_GB2312"/>
                <w:b/>
                <w:bCs/>
                <w:sz w:val="24"/>
              </w:rPr>
            </w:pPr>
            <w:r>
              <w:rPr>
                <w:rFonts w:hint="eastAsia" w:ascii="仿宋_GB2312" w:eastAsia="仿宋_GB2312"/>
                <w:b/>
                <w:bCs/>
                <w:sz w:val="24"/>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1</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教</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育</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信</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念</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与</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责</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b/>
                <w:sz w:val="24"/>
              </w:rPr>
              <w:t>任</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1.1具有正确的学生观和相应的行为</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1.1.1理解中学阶段在人生发展中的独特地位和价值，认识积极主动的中学生活对中学生发展的意义。</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1.1.2尊重学生的学习和发展的权利，保护学生的学习自主性、独立性与选择性。</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1.1.3尊重学生的个体差异，相信学生具有发展的潜力，乐于为学生创造发展的条件和机会。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1.2具有正确的教师观和相应的行为</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1.2.1理解教师是学生学习的促进者，相信教师工作的意义在于创造条件帮助学生自主发展。</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1.2.2了解中学教师的职业特点和专业要求，自觉提高自身的科学与人文素养，形成终身学习的意愿。</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1.2.3了解教师的权利与责任，遵守教师职业道德。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1" w:hRule="atLeast"/>
        </w:trPr>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1.3具有正确的教育观和相应的行为</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1.3.1理解教育对学生成长、教师自身发展和社会进步的重要意义，相信教育充满了创造的乐趣，愿意从事中学教育事业。</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1.3.2了解人类教育的历史、现状和发展趋势，认同素质教育理念，理解并参与教育改革。</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Cs/>
                <w:sz w:val="24"/>
              </w:rPr>
            </w:pPr>
            <w:r>
              <w:rPr>
                <w:rFonts w:hint="eastAsia" w:ascii="仿宋_GB2312" w:eastAsia="仿宋_GB2312"/>
                <w:bCs/>
                <w:sz w:val="24"/>
              </w:rPr>
              <w:t>1.3.3形成正确的教育质量观，对与学校教育相关的现象进行专业思考与判断。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教</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育</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知</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与</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能</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b/>
                <w:sz w:val="24"/>
              </w:rPr>
              <w:t>力</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2.1具有理解学生的知识与技能</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2.1.1了解儿童发展的主要理论和最新研究成果。</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2.1.2了解儿童身心发展的一般规律和影响因素，熟悉中学生年龄特征和个体发展的差异性。</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2.1.3了解中学生的认知发展、学习方式的特点及影响因素，熟悉中学生建构知识和获得技能的过程。</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2.1.4了解中学生品德和行为习惯形成的过程，了解中学生交往的特点，理解同伴交往对中学生发展的影响。</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2.1.5掌握观察、谈话、倾听、作品分析等方法，理解中学生学习和发展的需要。</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2.1.6了解我国教育的政策法规，熟悉关于儿童权利的内容以及维护儿童合法权益的途径。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2.2具有教育学生的知识和能力</w:t>
            </w:r>
          </w:p>
        </w:tc>
        <w:tc>
          <w:tcPr>
            <w:tcW w:w="63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2.2.1了解中学教育的培养目标，熟悉任教学科的课程标准，学会依据课程标准制定教学目标或活动目标。</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2.2.2熟悉任教学科的教学内容和方法，学会联系并运用中学生生活经验和相关课程资源，设计教育活动，创设促进中学生学习的课堂环境。</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2.2.3了解课堂评价的理论与技术，学会通过评价改进教学与促进学生学习。</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2.2.4了解活动课程开发的知识，学会开发校本课程，设计与指导课外、校外活动。</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2.2.5了解班级管理的基本方法，学会引导中学生进行自我管理和形成集体观念。</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2.2.6了解中学生心理健康教育的基本知识，学会处理中学生特别是青春期常见的心理和行为问题。</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 xml:space="preserve">2.2.7掌握教师所必需的语言技能、沟通与合作技能、运用现代教育技术的技能。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2.3具有发展自我的知识与能力</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2.3.1了解教师专业素养的核心内容，明确自身专业发展的重点。</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2.3.2了解教师专业发展的阶段与途径，熟悉教师专业发展规划的一般方法，学会理解和分享优秀教师的成长经验。</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2.3.3了解教师专业发展的影响因素，学会利用以课程学习为主的各种机会积累发展的经验。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教</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育</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实</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践</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与</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b/>
                <w:sz w:val="24"/>
              </w:rPr>
            </w:pPr>
            <w:r>
              <w:rPr>
                <w:rFonts w:hint="eastAsia" w:ascii="仿宋_GB2312" w:eastAsia="仿宋_GB2312"/>
                <w:b/>
                <w:sz w:val="24"/>
              </w:rPr>
              <w:t>体</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b/>
                <w:sz w:val="24"/>
              </w:rPr>
              <w:t>验</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3.1具有观摩教育实践的经历与体验</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3.1.1观摩中学课堂教学，了解中学课堂教学的规范与过程，感受不同的教学风格。</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3.1.2深入班级或其他学生组织，了解中学班级管理的内容和要求，获得与学生直接交往的体验。</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3.1.3深入中学，了解中学的组织结构与运作机制。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3.2具有参与教育实践的经历与体验</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3.2.1 在有指导的情况下，根据学生的特点，设计与实施教学方案，获得对学科教学的真实感受和初步经验。</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3.2.2 在有指导的情况下，参与指导学习、管理班级和组织活动，获得与家庭、社区联系的经历。</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 xml:space="preserve">3.2.3 参与各种教研活动，获得与其他教师直接对话或交流的机会。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3.3具有研究教育实践的经历与体验</w:t>
            </w:r>
          </w:p>
        </w:tc>
        <w:tc>
          <w:tcPr>
            <w:tcW w:w="63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3.3.1在日常学习和实践过程中积累所学所思所想，形成问题意识和一定的解决问题的能力。</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3.3.2了解研究教育实践的一般方法，经历和体验制订计划、开展活动、完成报告、分享结果的过程。</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3.3.3参与各种类型的科研活动，获得科学地研究学生的经历与体验。</w:t>
            </w:r>
          </w:p>
        </w:tc>
      </w:tr>
    </w:tbl>
    <w:p>
      <w:pPr>
        <w:snapToGrid w:val="0"/>
        <w:spacing w:line="560" w:lineRule="exact"/>
        <w:ind w:firstLine="590" w:firstLineChars="196"/>
        <w:rPr>
          <w:rFonts w:hint="eastAsia" w:ascii="仿宋_GB2312" w:eastAsia="仿宋_GB2312"/>
          <w:b/>
          <w:sz w:val="30"/>
          <w:szCs w:val="30"/>
        </w:rPr>
      </w:pPr>
    </w:p>
    <w:p>
      <w:pPr>
        <w:snapToGrid w:val="0"/>
        <w:spacing w:line="560" w:lineRule="exact"/>
        <w:ind w:firstLine="590" w:firstLineChars="196"/>
        <w:rPr>
          <w:rFonts w:hint="eastAsia" w:ascii="仿宋_GB2312" w:eastAsia="仿宋_GB2312"/>
          <w:b/>
          <w:sz w:val="30"/>
          <w:szCs w:val="30"/>
        </w:rPr>
      </w:pPr>
    </w:p>
    <w:p>
      <w:pPr>
        <w:snapToGrid w:val="0"/>
        <w:spacing w:line="560" w:lineRule="exact"/>
        <w:ind w:firstLine="590" w:firstLineChars="196"/>
        <w:rPr>
          <w:rFonts w:hint="eastAsia" w:ascii="仿宋_GB2312" w:eastAsia="仿宋_GB2312"/>
          <w:b/>
          <w:sz w:val="30"/>
          <w:szCs w:val="30"/>
        </w:rPr>
      </w:pPr>
    </w:p>
    <w:p>
      <w:pPr>
        <w:snapToGrid w:val="0"/>
        <w:spacing w:line="560" w:lineRule="exact"/>
        <w:ind w:firstLine="590" w:firstLineChars="196"/>
        <w:rPr>
          <w:rFonts w:hint="eastAsia" w:ascii="仿宋_GB2312" w:eastAsia="仿宋_GB2312"/>
          <w:b/>
          <w:sz w:val="30"/>
          <w:szCs w:val="30"/>
        </w:rPr>
      </w:pPr>
    </w:p>
    <w:p>
      <w:pPr>
        <w:snapToGrid w:val="0"/>
        <w:spacing w:line="560" w:lineRule="exact"/>
        <w:ind w:firstLine="590" w:firstLineChars="196"/>
        <w:rPr>
          <w:rFonts w:hint="eastAsia" w:ascii="仿宋_GB2312" w:eastAsia="仿宋_GB2312"/>
          <w:kern w:val="0"/>
          <w:sz w:val="30"/>
          <w:szCs w:val="30"/>
        </w:rPr>
      </w:pPr>
      <w:bookmarkStart w:id="0" w:name="_GoBack"/>
      <w:bookmarkEnd w:id="0"/>
      <w:r>
        <w:rPr>
          <w:rFonts w:hint="eastAsia" w:ascii="仿宋_GB2312" w:eastAsia="仿宋_GB2312"/>
          <w:b/>
          <w:sz w:val="30"/>
          <w:szCs w:val="30"/>
        </w:rPr>
        <w:t>2．课程设置</w:t>
      </w:r>
    </w:p>
    <w:tbl>
      <w:tblPr>
        <w:tblStyle w:val="5"/>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3780"/>
        <w:gridCol w:w="129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48"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r>
              <w:rPr>
                <w:rFonts w:hint="eastAsia" w:ascii="仿宋_GB2312" w:eastAsia="仿宋_GB2312"/>
                <w:b/>
                <w:kern w:val="0"/>
                <w:sz w:val="24"/>
              </w:rPr>
              <w:t>学习领域</w:t>
            </w:r>
            <w:r>
              <w:rPr>
                <w:rFonts w:hint="eastAsia" w:eastAsia="仿宋_GB2312"/>
                <w:b/>
                <w:kern w:val="0"/>
                <w:sz w:val="24"/>
              </w:rPr>
              <w:t> </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p>
        </w:tc>
        <w:tc>
          <w:tcPr>
            <w:tcW w:w="3780"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r>
              <w:rPr>
                <w:rFonts w:hint="eastAsia" w:ascii="仿宋_GB2312" w:eastAsia="仿宋_GB2312"/>
                <w:b/>
                <w:kern w:val="0"/>
                <w:sz w:val="24"/>
              </w:rPr>
              <w:t>建议模块</w:t>
            </w:r>
            <w:r>
              <w:rPr>
                <w:rFonts w:hint="eastAsia" w:eastAsia="仿宋_GB2312"/>
                <w:b/>
                <w:kern w:val="0"/>
                <w:sz w:val="24"/>
              </w:rPr>
              <w:t> </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p>
        </w:tc>
        <w:tc>
          <w:tcPr>
            <w:tcW w:w="25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r>
              <w:rPr>
                <w:rFonts w:hint="eastAsia" w:ascii="仿宋_GB2312" w:eastAsia="仿宋_GB2312"/>
                <w:b/>
                <w:kern w:val="0"/>
                <w:sz w:val="24"/>
              </w:rPr>
              <w:t xml:space="preserve"> 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trPr>
        <w:tc>
          <w:tcPr>
            <w:tcW w:w="24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b/>
                <w:kern w:val="0"/>
                <w:sz w:val="24"/>
              </w:rPr>
            </w:pPr>
          </w:p>
        </w:tc>
        <w:tc>
          <w:tcPr>
            <w:tcW w:w="37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b/>
                <w:kern w:val="0"/>
                <w:sz w:val="24"/>
              </w:rPr>
            </w:pPr>
          </w:p>
        </w:tc>
        <w:tc>
          <w:tcPr>
            <w:tcW w:w="12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r>
              <w:rPr>
                <w:rFonts w:hint="eastAsia" w:ascii="仿宋_GB2312" w:eastAsia="仿宋_GB2312"/>
                <w:b/>
                <w:kern w:val="0"/>
                <w:sz w:val="24"/>
              </w:rPr>
              <w:t>三年制</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r>
              <w:rPr>
                <w:rFonts w:hint="eastAsia" w:ascii="仿宋_GB2312" w:eastAsia="仿宋_GB2312"/>
                <w:b/>
                <w:kern w:val="0"/>
                <w:sz w:val="24"/>
              </w:rPr>
              <w:t>专科</w:t>
            </w:r>
          </w:p>
        </w:tc>
        <w:tc>
          <w:tcPr>
            <w:tcW w:w="12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r>
              <w:rPr>
                <w:rFonts w:hint="eastAsia" w:ascii="仿宋_GB2312" w:eastAsia="仿宋_GB2312"/>
                <w:b/>
                <w:kern w:val="0"/>
                <w:sz w:val="24"/>
              </w:rPr>
              <w:t>四年制</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kern w:val="0"/>
                <w:sz w:val="24"/>
              </w:rPr>
            </w:pPr>
            <w:r>
              <w:rPr>
                <w:rFonts w:hint="eastAsia" w:ascii="仿宋_GB2312" w:eastAsia="仿宋_GB2312"/>
                <w:b/>
                <w:kern w:val="0"/>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24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b/>
                <w:kern w:val="0"/>
                <w:sz w:val="24"/>
              </w:rPr>
            </w:pPr>
            <w:r>
              <w:rPr>
                <w:rFonts w:hint="eastAsia" w:ascii="仿宋_GB2312" w:eastAsia="仿宋_GB2312"/>
                <w:b/>
                <w:kern w:val="0"/>
                <w:sz w:val="24"/>
              </w:rPr>
              <w:t>1．儿童发展与学习</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b/>
                <w:kern w:val="0"/>
                <w:sz w:val="24"/>
              </w:rPr>
            </w:pPr>
            <w:r>
              <w:rPr>
                <w:rFonts w:hint="eastAsia" w:ascii="仿宋_GB2312" w:eastAsia="仿宋_GB2312"/>
                <w:b/>
                <w:kern w:val="0"/>
                <w:sz w:val="24"/>
              </w:rPr>
              <w:t>2．中学教育基础</w:t>
            </w:r>
          </w:p>
          <w:p>
            <w:pPr>
              <w:keepNext w:val="0"/>
              <w:keepLines w:val="0"/>
              <w:pageBreakBefore w:val="0"/>
              <w:widowControl/>
              <w:kinsoku/>
              <w:wordWrap/>
              <w:overflowPunct/>
              <w:topLinePunct w:val="0"/>
              <w:autoSpaceDE/>
              <w:autoSpaceDN/>
              <w:bidi w:val="0"/>
              <w:adjustRightInd/>
              <w:snapToGrid w:val="0"/>
              <w:spacing w:line="440" w:lineRule="exact"/>
              <w:ind w:left="354" w:hanging="354" w:hangingChars="147"/>
              <w:jc w:val="left"/>
              <w:textAlignment w:val="auto"/>
              <w:rPr>
                <w:rFonts w:hint="eastAsia" w:ascii="仿宋_GB2312" w:eastAsia="仿宋_GB2312"/>
                <w:b/>
                <w:kern w:val="0"/>
                <w:sz w:val="24"/>
              </w:rPr>
            </w:pPr>
          </w:p>
          <w:p>
            <w:pPr>
              <w:keepNext w:val="0"/>
              <w:keepLines w:val="0"/>
              <w:pageBreakBefore w:val="0"/>
              <w:widowControl/>
              <w:kinsoku/>
              <w:wordWrap/>
              <w:overflowPunct/>
              <w:topLinePunct w:val="0"/>
              <w:autoSpaceDE/>
              <w:autoSpaceDN/>
              <w:bidi w:val="0"/>
              <w:adjustRightInd/>
              <w:snapToGrid w:val="0"/>
              <w:spacing w:line="440" w:lineRule="exact"/>
              <w:ind w:left="354" w:hanging="354" w:hangingChars="147"/>
              <w:jc w:val="left"/>
              <w:textAlignment w:val="auto"/>
              <w:rPr>
                <w:rFonts w:hint="eastAsia" w:ascii="仿宋_GB2312" w:eastAsia="仿宋_GB2312"/>
                <w:b/>
                <w:kern w:val="0"/>
                <w:sz w:val="24"/>
              </w:rPr>
            </w:pPr>
            <w:r>
              <w:rPr>
                <w:rFonts w:hint="eastAsia" w:ascii="仿宋_GB2312" w:eastAsia="仿宋_GB2312"/>
                <w:b/>
                <w:kern w:val="0"/>
                <w:sz w:val="24"/>
              </w:rPr>
              <w:t>3．中学学科教育与活动指导</w:t>
            </w:r>
          </w:p>
          <w:p>
            <w:pPr>
              <w:keepNext w:val="0"/>
              <w:keepLines w:val="0"/>
              <w:pageBreakBefore w:val="0"/>
              <w:widowControl/>
              <w:kinsoku/>
              <w:wordWrap/>
              <w:overflowPunct/>
              <w:topLinePunct w:val="0"/>
              <w:autoSpaceDE/>
              <w:autoSpaceDN/>
              <w:bidi w:val="0"/>
              <w:adjustRightInd/>
              <w:snapToGrid w:val="0"/>
              <w:spacing w:line="440" w:lineRule="exact"/>
              <w:ind w:left="354" w:hanging="354" w:hangingChars="147"/>
              <w:jc w:val="left"/>
              <w:textAlignment w:val="auto"/>
              <w:rPr>
                <w:rFonts w:hint="eastAsia" w:ascii="仿宋_GB2312" w:eastAsia="仿宋_GB2312"/>
                <w:b/>
                <w:kern w:val="0"/>
                <w:sz w:val="24"/>
              </w:rPr>
            </w:pPr>
          </w:p>
          <w:p>
            <w:pPr>
              <w:keepNext w:val="0"/>
              <w:keepLines w:val="0"/>
              <w:pageBreakBefore w:val="0"/>
              <w:widowControl/>
              <w:kinsoku/>
              <w:wordWrap/>
              <w:overflowPunct/>
              <w:topLinePunct w:val="0"/>
              <w:autoSpaceDE/>
              <w:autoSpaceDN/>
              <w:bidi w:val="0"/>
              <w:adjustRightInd/>
              <w:snapToGrid w:val="0"/>
              <w:spacing w:line="440" w:lineRule="exact"/>
              <w:ind w:left="361" w:hanging="361" w:hangingChars="150"/>
              <w:jc w:val="left"/>
              <w:textAlignment w:val="auto"/>
              <w:rPr>
                <w:rFonts w:hint="eastAsia" w:ascii="仿宋_GB2312" w:eastAsia="仿宋_GB2312"/>
                <w:b/>
                <w:kern w:val="0"/>
                <w:sz w:val="24"/>
              </w:rPr>
            </w:pPr>
            <w:r>
              <w:rPr>
                <w:rFonts w:hint="eastAsia" w:ascii="仿宋_GB2312" w:eastAsia="仿宋_GB2312"/>
                <w:b/>
                <w:kern w:val="0"/>
                <w:sz w:val="24"/>
              </w:rPr>
              <w:t>4</w:t>
            </w:r>
            <w:r>
              <w:rPr>
                <w:rFonts w:hint="eastAsia" w:ascii="仿宋_GB2312" w:eastAsia="仿宋_GB2312"/>
                <w:b/>
                <w:sz w:val="24"/>
              </w:rPr>
              <w:t>．</w:t>
            </w:r>
            <w:r>
              <w:rPr>
                <w:rFonts w:hint="eastAsia" w:ascii="仿宋_GB2312" w:eastAsia="仿宋_GB2312"/>
                <w:b/>
                <w:kern w:val="0"/>
                <w:sz w:val="24"/>
              </w:rPr>
              <w:t>心理健康与道德教育</w:t>
            </w:r>
          </w:p>
          <w:p>
            <w:pPr>
              <w:keepNext w:val="0"/>
              <w:keepLines w:val="0"/>
              <w:pageBreakBefore w:val="0"/>
              <w:widowControl/>
              <w:kinsoku/>
              <w:wordWrap/>
              <w:overflowPunct/>
              <w:topLinePunct w:val="0"/>
              <w:autoSpaceDE/>
              <w:autoSpaceDN/>
              <w:bidi w:val="0"/>
              <w:adjustRightInd/>
              <w:snapToGrid w:val="0"/>
              <w:spacing w:line="440" w:lineRule="exact"/>
              <w:ind w:left="361" w:hanging="361" w:hangingChars="150"/>
              <w:jc w:val="left"/>
              <w:textAlignment w:val="auto"/>
              <w:rPr>
                <w:rFonts w:hint="eastAsia" w:ascii="仿宋_GB2312" w:eastAsia="仿宋_GB2312"/>
                <w:b/>
                <w:kern w:val="0"/>
                <w:sz w:val="24"/>
              </w:rPr>
            </w:pPr>
            <w:r>
              <w:rPr>
                <w:rFonts w:hint="eastAsia" w:ascii="仿宋_GB2312" w:eastAsia="仿宋_GB2312"/>
                <w:b/>
                <w:kern w:val="0"/>
                <w:sz w:val="24"/>
              </w:rPr>
              <w:t>5</w:t>
            </w:r>
            <w:r>
              <w:rPr>
                <w:rFonts w:hint="eastAsia" w:ascii="仿宋_GB2312" w:eastAsia="仿宋_GB2312"/>
                <w:b/>
                <w:sz w:val="24"/>
              </w:rPr>
              <w:t>．</w:t>
            </w:r>
            <w:r>
              <w:rPr>
                <w:rFonts w:hint="eastAsia" w:ascii="仿宋_GB2312" w:eastAsia="仿宋_GB2312"/>
                <w:b/>
                <w:kern w:val="0"/>
                <w:sz w:val="24"/>
              </w:rPr>
              <w:t>职业道德与专业发展</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kern w:val="0"/>
                <w:sz w:val="24"/>
              </w:rPr>
            </w:pPr>
          </w:p>
        </w:tc>
        <w:tc>
          <w:tcPr>
            <w:tcW w:w="37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kern w:val="0"/>
                <w:sz w:val="24"/>
              </w:rPr>
            </w:pPr>
            <w:r>
              <w:rPr>
                <w:rFonts w:hint="eastAsia" w:ascii="仿宋_GB2312" w:eastAsia="仿宋_GB2312"/>
                <w:kern w:val="0"/>
                <w:sz w:val="24"/>
              </w:rPr>
              <w:t>儿童发展；中学生认知与学习等。</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kern w:val="0"/>
                <w:sz w:val="24"/>
              </w:rPr>
            </w:pPr>
            <w:r>
              <w:rPr>
                <w:rFonts w:hint="eastAsia" w:ascii="仿宋_GB2312" w:eastAsia="仿宋_GB2312"/>
                <w:kern w:val="0"/>
                <w:sz w:val="24"/>
              </w:rPr>
              <w:t>教育哲学；课程设计与评价；有效教学；学校教育发展；班级管理等。</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kern w:val="0"/>
                <w:sz w:val="24"/>
              </w:rPr>
            </w:pPr>
            <w:r>
              <w:rPr>
                <w:rFonts w:hint="eastAsia" w:ascii="仿宋_GB2312" w:eastAsia="仿宋_GB2312"/>
                <w:kern w:val="0"/>
                <w:sz w:val="24"/>
              </w:rPr>
              <w:t>中学学科课程标准与教材研究；中学学科教学设计；中学综合实践活动等。</w:t>
            </w:r>
          </w:p>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kern w:val="0"/>
                <w:sz w:val="24"/>
              </w:rPr>
            </w:pPr>
            <w:r>
              <w:rPr>
                <w:rFonts w:hint="eastAsia" w:ascii="仿宋_GB2312" w:eastAsia="仿宋_GB2312"/>
                <w:kern w:val="0"/>
                <w:sz w:val="24"/>
              </w:rPr>
              <w:t>中学生心理辅导；中学生品德发展与道德教育等。</w:t>
            </w:r>
          </w:p>
          <w:p>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仿宋_GB2312" w:eastAsia="仿宋_GB2312"/>
                <w:kern w:val="0"/>
                <w:sz w:val="24"/>
              </w:rPr>
            </w:pPr>
            <w:r>
              <w:rPr>
                <w:rFonts w:hint="eastAsia" w:ascii="仿宋_GB2312" w:eastAsia="仿宋_GB2312"/>
                <w:kern w:val="0"/>
                <w:sz w:val="24"/>
              </w:rPr>
              <w:t>教师职业道德；教师专业发展；教育研究方法；教师语言；现代教育技术应用等。</w:t>
            </w:r>
          </w:p>
        </w:tc>
        <w:tc>
          <w:tcPr>
            <w:tcW w:w="12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kern w:val="0"/>
                <w:sz w:val="24"/>
              </w:rPr>
              <w:t>最低必修学分</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kern w:val="0"/>
                <w:sz w:val="24"/>
              </w:rPr>
              <w:t>8</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kern w:val="0"/>
                <w:sz w:val="24"/>
              </w:rPr>
              <w:t>学分</w:t>
            </w:r>
          </w:p>
        </w:tc>
        <w:tc>
          <w:tcPr>
            <w:tcW w:w="12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bCs/>
                <w:kern w:val="0"/>
                <w:sz w:val="24"/>
              </w:rPr>
            </w:pPr>
            <w:r>
              <w:rPr>
                <w:rFonts w:hint="eastAsia" w:ascii="仿宋_GB2312" w:eastAsia="仿宋_GB2312"/>
                <w:b/>
                <w:bCs/>
                <w:kern w:val="0"/>
                <w:sz w:val="24"/>
              </w:rPr>
              <w:t>最低必修学分</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b/>
                <w:bCs/>
                <w:kern w:val="0"/>
                <w:sz w:val="24"/>
              </w:rPr>
            </w:pPr>
            <w:r>
              <w:rPr>
                <w:rFonts w:hint="eastAsia" w:ascii="仿宋_GB2312" w:eastAsia="仿宋_GB2312"/>
                <w:b/>
                <w:bCs/>
                <w:kern w:val="0"/>
                <w:sz w:val="24"/>
              </w:rPr>
              <w:t>10</w:t>
            </w:r>
          </w:p>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b/>
                <w:bCs/>
                <w:kern w:val="0"/>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244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仿宋_GB2312" w:eastAsia="仿宋_GB2312"/>
                <w:b/>
                <w:kern w:val="0"/>
                <w:sz w:val="24"/>
              </w:rPr>
            </w:pPr>
            <w:r>
              <w:rPr>
                <w:rFonts w:hint="eastAsia" w:ascii="仿宋_GB2312" w:eastAsia="仿宋_GB2312"/>
                <w:b/>
                <w:kern w:val="0"/>
                <w:sz w:val="24"/>
              </w:rPr>
              <w:t>6．教育实践</w:t>
            </w:r>
          </w:p>
        </w:tc>
        <w:tc>
          <w:tcPr>
            <w:tcW w:w="37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pageBreakBefore w:val="0"/>
              <w:kinsoku/>
              <w:wordWrap/>
              <w:overflowPunct/>
              <w:topLinePunct w:val="0"/>
              <w:autoSpaceDE/>
              <w:autoSpaceDN/>
              <w:bidi w:val="0"/>
              <w:adjustRightInd/>
              <w:snapToGrid w:val="0"/>
              <w:spacing w:line="440" w:lineRule="exact"/>
              <w:jc w:val="left"/>
              <w:textAlignment w:val="auto"/>
              <w:rPr>
                <w:rFonts w:hint="eastAsia" w:ascii="仿宋_GB2312" w:eastAsia="仿宋_GB2312"/>
                <w:kern w:val="0"/>
                <w:sz w:val="24"/>
              </w:rPr>
            </w:pPr>
            <w:r>
              <w:rPr>
                <w:rFonts w:hint="eastAsia" w:ascii="仿宋_GB2312" w:eastAsia="仿宋_GB2312"/>
                <w:kern w:val="0"/>
                <w:sz w:val="24"/>
              </w:rPr>
              <w:t>教育见习；教育实习。</w:t>
            </w:r>
          </w:p>
        </w:tc>
        <w:tc>
          <w:tcPr>
            <w:tcW w:w="129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kern w:val="0"/>
                <w:sz w:val="24"/>
              </w:rPr>
              <w:t>18周</w:t>
            </w:r>
          </w:p>
        </w:tc>
        <w:tc>
          <w:tcPr>
            <w:tcW w:w="121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kern w:val="0"/>
                <w:sz w:val="24"/>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2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left"/>
              <w:textAlignment w:val="auto"/>
              <w:rPr>
                <w:rFonts w:hint="eastAsia" w:ascii="仿宋_GB2312" w:eastAsia="仿宋_GB2312"/>
                <w:b/>
                <w:kern w:val="0"/>
                <w:sz w:val="24"/>
              </w:rPr>
            </w:pPr>
            <w:r>
              <w:rPr>
                <w:rFonts w:hint="eastAsia" w:ascii="仿宋_GB2312" w:eastAsia="仿宋_GB2312"/>
                <w:b/>
                <w:kern w:val="0"/>
                <w:sz w:val="24"/>
              </w:rPr>
              <w:t>教师教育课程最低总学分数（含选修课程）</w:t>
            </w:r>
          </w:p>
        </w:tc>
        <w:tc>
          <w:tcPr>
            <w:tcW w:w="129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kern w:val="0"/>
                <w:sz w:val="24"/>
              </w:rPr>
              <w:t>12学分+18周</w:t>
            </w:r>
          </w:p>
        </w:tc>
        <w:tc>
          <w:tcPr>
            <w:tcW w:w="12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eastAsia" w:ascii="仿宋_GB2312" w:eastAsia="仿宋_GB2312"/>
                <w:kern w:val="0"/>
                <w:sz w:val="24"/>
              </w:rPr>
            </w:pPr>
            <w:r>
              <w:rPr>
                <w:rFonts w:hint="eastAsia" w:ascii="仿宋_GB2312" w:eastAsia="仿宋_GB2312"/>
                <w:kern w:val="0"/>
                <w:sz w:val="24"/>
              </w:rPr>
              <w:t>14学分+18周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说明：</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_GB2312" w:eastAsia="仿宋_GB2312"/>
                <w:kern w:val="0"/>
                <w:sz w:val="24"/>
              </w:rPr>
            </w:pPr>
            <w:r>
              <w:rPr>
                <w:rFonts w:hint="eastAsia" w:ascii="仿宋_GB2312" w:eastAsia="仿宋_GB2312"/>
                <w:sz w:val="24"/>
              </w:rPr>
              <w:t>（1）1学分相当于学生在教师指导下进行课程学习18课时，并经考核合格。</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_GB2312" w:eastAsia="仿宋_GB2312"/>
                <w:sz w:val="24"/>
              </w:rPr>
            </w:pPr>
            <w:r>
              <w:rPr>
                <w:rFonts w:hint="eastAsia" w:ascii="仿宋_GB2312" w:eastAsia="仿宋_GB2312"/>
                <w:sz w:val="24"/>
              </w:rPr>
              <w:t>（2）学习领域是每个学习者都必修的；建议模块供教师教育机构或学习者选择或组合，可以是必修也可以是选修；每个学习领域或模块的学分数由教师教育机构按相关规定自主确定。</w:t>
            </w:r>
          </w:p>
        </w:tc>
      </w:tr>
    </w:tbl>
    <w:p>
      <w:pPr>
        <w:keepNext w:val="0"/>
        <w:keepLines w:val="0"/>
        <w:pageBreakBefore w:val="0"/>
        <w:kinsoku/>
        <w:wordWrap/>
        <w:overflowPunct/>
        <w:topLinePunct w:val="0"/>
        <w:autoSpaceDE/>
        <w:autoSpaceDN/>
        <w:bidi w:val="0"/>
        <w:adjustRightInd/>
        <w:snapToGrid w:val="0"/>
        <w:spacing w:line="440" w:lineRule="exact"/>
        <w:ind w:firstLine="472" w:firstLineChars="196"/>
        <w:textAlignment w:val="auto"/>
        <w:rPr>
          <w:rFonts w:eastAsia="仿宋_GB2312"/>
          <w:b/>
          <w:sz w:val="24"/>
        </w:rPr>
      </w:pPr>
    </w:p>
    <w:p>
      <w:pPr>
        <w:keepNext w:val="0"/>
        <w:keepLines w:val="0"/>
        <w:pageBreakBefore w:val="0"/>
        <w:kinsoku/>
        <w:wordWrap/>
        <w:overflowPunct/>
        <w:topLinePunct w:val="0"/>
        <w:autoSpaceDE/>
        <w:autoSpaceDN/>
        <w:bidi w:val="0"/>
        <w:adjustRightInd/>
        <w:spacing w:line="44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B6A3E"/>
    <w:rsid w:val="2EC603BA"/>
    <w:rsid w:val="57AB6A3E"/>
    <w:rsid w:val="6166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napToGrid w:val="0"/>
      <w:spacing w:line="300" w:lineRule="exact"/>
      <w:ind w:firstLine="480" w:firstLineChars="200"/>
    </w:pPr>
    <w:rPr>
      <w:rFonts w:eastAsia="仿宋_GB2312"/>
      <w:color w:val="000000"/>
      <w:sz w:val="24"/>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2019-03-22T01:21:00Z</dcterms:created>
  <dc:creator>Administrator</dc:creator>
  <cp:lastModifiedBy>苍梧子</cp:lastModifiedBy>
  <dcterms:modified xsi:type="dcterms:W3CDTF">2019-07-16T12:53:17Z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